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0C618388" w14:textId="77777777" w:rsidR="00D40AE0" w:rsidRPr="00314582" w:rsidRDefault="001B2225" w:rsidP="00D40AE0">
      <w:pPr>
        <w:spacing w:line="271" w:lineRule="auto"/>
        <w:rPr>
          <w:rFonts w:asciiTheme="minorHAnsi" w:eastAsia="Calibri" w:hAnsiTheme="minorHAnsi" w:cstheme="minorHAnsi"/>
          <w:b/>
          <w:bCs/>
          <w:sz w:val="20"/>
          <w:szCs w:val="20"/>
          <w:lang w:val="fr-FR"/>
        </w:rPr>
      </w:pPr>
      <w:r w:rsidRPr="00314582">
        <w:rPr>
          <w:rFonts w:asciiTheme="minorHAnsi" w:hAnsiTheme="minorHAnsi" w:cstheme="minorHAnsi"/>
          <w:b/>
          <w:bCs/>
          <w:sz w:val="20"/>
          <w:szCs w:val="20"/>
          <w:lang w:val="fr-FR"/>
        </w:rPr>
        <w:t>Mex, Suisse,</w:t>
      </w:r>
      <w:r w:rsidR="003B0810" w:rsidRPr="00314582">
        <w:rPr>
          <w:rFonts w:asciiTheme="minorHAnsi" w:hAnsiTheme="minorHAnsi" w:cstheme="minorHAnsi"/>
          <w:b/>
          <w:bCs/>
          <w:sz w:val="20"/>
          <w:szCs w:val="20"/>
          <w:lang w:val="fr-FR"/>
        </w:rPr>
        <w:t xml:space="preserve"> </w:t>
      </w:r>
      <w:r w:rsidR="003B0810" w:rsidRPr="00314582">
        <w:rPr>
          <w:rFonts w:asciiTheme="minorHAnsi" w:eastAsia="Calibri" w:hAnsiTheme="minorHAnsi" w:cstheme="minorHAnsi"/>
          <w:b/>
          <w:bCs/>
          <w:sz w:val="20"/>
          <w:szCs w:val="20"/>
          <w:lang w:val="fr-FR"/>
        </w:rPr>
        <w:t>le 1 décembre 2020</w:t>
      </w:r>
    </w:p>
    <w:p w14:paraId="51E7D4FB" w14:textId="77777777" w:rsidR="00D40AE0" w:rsidRPr="00314582" w:rsidRDefault="00D40AE0" w:rsidP="00D40AE0">
      <w:pPr>
        <w:spacing w:line="271" w:lineRule="auto"/>
        <w:rPr>
          <w:rFonts w:asciiTheme="minorHAnsi" w:eastAsia="Calibri" w:hAnsiTheme="minorHAnsi" w:cstheme="minorHAnsi"/>
          <w:b/>
          <w:bCs/>
          <w:sz w:val="20"/>
          <w:szCs w:val="20"/>
          <w:lang w:val="fr-FR"/>
        </w:rPr>
      </w:pPr>
    </w:p>
    <w:p w14:paraId="1D6B1D49" w14:textId="77777777" w:rsidR="00D40AE0" w:rsidRPr="00314582" w:rsidRDefault="00D40AE0" w:rsidP="00D40AE0">
      <w:pPr>
        <w:spacing w:line="271" w:lineRule="auto"/>
        <w:rPr>
          <w:rFonts w:asciiTheme="minorHAnsi" w:eastAsia="Calibri" w:hAnsiTheme="minorHAnsi" w:cstheme="minorHAnsi"/>
          <w:b/>
          <w:bCs/>
          <w:sz w:val="20"/>
          <w:szCs w:val="20"/>
          <w:lang w:val="fr-FR"/>
        </w:rPr>
      </w:pPr>
    </w:p>
    <w:p w14:paraId="5E83D303" w14:textId="45E28091" w:rsidR="003B0810" w:rsidRPr="00314582" w:rsidRDefault="003B0810" w:rsidP="00D40AE0">
      <w:pPr>
        <w:spacing w:line="271" w:lineRule="auto"/>
        <w:rPr>
          <w:rFonts w:asciiTheme="minorHAnsi" w:eastAsia="Calibri" w:hAnsiTheme="minorHAnsi" w:cstheme="minorHAnsi"/>
          <w:b/>
          <w:bCs/>
          <w:sz w:val="20"/>
          <w:szCs w:val="20"/>
          <w:lang w:val="fr-FR"/>
        </w:rPr>
      </w:pPr>
      <w:r w:rsidRPr="00314582">
        <w:rPr>
          <w:rFonts w:asciiTheme="minorHAnsi" w:eastAsia="Calibri" w:hAnsiTheme="minorHAnsi" w:cstheme="minorHAnsi"/>
          <w:b/>
          <w:bCs/>
          <w:sz w:val="20"/>
          <w:szCs w:val="20"/>
          <w:lang w:val="fr-FR"/>
        </w:rPr>
        <w:t>BOBST dévoile une nouvelle structure organisationnelle pour construire l’avenir du marché de l’emballage</w:t>
      </w:r>
    </w:p>
    <w:p w14:paraId="0243102E" w14:textId="77777777" w:rsidR="003B0810" w:rsidRPr="00314582" w:rsidRDefault="003B0810" w:rsidP="003B0810">
      <w:pPr>
        <w:suppressAutoHyphens/>
        <w:autoSpaceDN w:val="0"/>
        <w:spacing w:after="160" w:line="256" w:lineRule="auto"/>
        <w:textAlignment w:val="baseline"/>
        <w:rPr>
          <w:rFonts w:asciiTheme="minorHAnsi" w:eastAsia="Calibri" w:hAnsiTheme="minorHAnsi" w:cstheme="minorHAnsi"/>
          <w:sz w:val="20"/>
          <w:szCs w:val="20"/>
          <w:lang w:val="fr-FR"/>
        </w:rPr>
      </w:pPr>
      <w:r w:rsidRPr="00314582">
        <w:rPr>
          <w:rFonts w:asciiTheme="minorHAnsi" w:eastAsia="Calibri" w:hAnsiTheme="minorHAnsi" w:cstheme="minorHAnsi"/>
          <w:sz w:val="20"/>
          <w:szCs w:val="20"/>
          <w:lang w:val="fr-FR"/>
        </w:rPr>
        <w:t>Alors que le rôle de l'emballage évolue rapidement, BOBST met en place une nouvelle structure d'entreprise pour mieux préparer l'avenir de ses clients. La nouvelle organisation, qui entrera en vigueur le 1er janvier 2021, sera plus axée sur le client, plus accessible et plus agile dans sa démarche d’innovation.</w:t>
      </w:r>
    </w:p>
    <w:p w14:paraId="61D07260" w14:textId="77777777" w:rsidR="003B0810" w:rsidRPr="00314582" w:rsidRDefault="003B0810" w:rsidP="003B0810">
      <w:pPr>
        <w:suppressAutoHyphens/>
        <w:autoSpaceDN w:val="0"/>
        <w:spacing w:after="160" w:line="256" w:lineRule="auto"/>
        <w:textAlignment w:val="baseline"/>
        <w:rPr>
          <w:rFonts w:asciiTheme="minorHAnsi" w:eastAsia="Calibri" w:hAnsiTheme="minorHAnsi" w:cstheme="minorHAnsi"/>
          <w:sz w:val="20"/>
          <w:szCs w:val="20"/>
          <w:lang w:val="fr-FR"/>
        </w:rPr>
      </w:pPr>
      <w:r w:rsidRPr="00314582">
        <w:rPr>
          <w:rFonts w:asciiTheme="minorHAnsi" w:eastAsia="Calibri" w:hAnsiTheme="minorHAnsi" w:cstheme="minorHAnsi"/>
          <w:sz w:val="20"/>
          <w:szCs w:val="20"/>
          <w:lang w:val="fr-FR"/>
        </w:rPr>
        <w:t xml:space="preserve">La nouvelle </w:t>
      </w:r>
      <w:hyperlink r:id="rId8" w:history="1">
        <w:r w:rsidRPr="00314582">
          <w:rPr>
            <w:rFonts w:asciiTheme="minorHAnsi" w:eastAsia="Calibri" w:hAnsiTheme="minorHAnsi" w:cstheme="minorHAnsi"/>
            <w:color w:val="0563C1"/>
            <w:sz w:val="20"/>
            <w:szCs w:val="20"/>
            <w:u w:val="single"/>
            <w:lang w:val="fr-FR"/>
          </w:rPr>
          <w:t>vision de l'industrie</w:t>
        </w:r>
      </w:hyperlink>
      <w:r w:rsidRPr="00314582">
        <w:rPr>
          <w:rFonts w:asciiTheme="minorHAnsi" w:eastAsia="Calibri" w:hAnsiTheme="minorHAnsi" w:cstheme="minorHAnsi"/>
          <w:sz w:val="20"/>
          <w:szCs w:val="20"/>
          <w:lang w:val="fr-FR"/>
        </w:rPr>
        <w:t xml:space="preserve"> dévoilée par BOBST en juin 2020, amorce une transformation profonde du secteur de l'emballage. Au sein de l’entreprise, la connectivité, la digitalisation, l'automatisation et la durabilité requises pour répondre aux besoins des propriétaires de marques, des imprimeurs et des convertisseurs, seront prochainement pilotées par deux nouvelles unités commerciales.</w:t>
      </w:r>
    </w:p>
    <w:p w14:paraId="14C0B987" w14:textId="2800D7D8" w:rsidR="003B0810" w:rsidRPr="00314582" w:rsidRDefault="003B0810" w:rsidP="003B0810">
      <w:pPr>
        <w:suppressAutoHyphens/>
        <w:autoSpaceDN w:val="0"/>
        <w:spacing w:after="160" w:line="256" w:lineRule="auto"/>
        <w:textAlignment w:val="baseline"/>
        <w:rPr>
          <w:rFonts w:asciiTheme="minorHAnsi" w:eastAsia="Calibri" w:hAnsiTheme="minorHAnsi" w:cstheme="minorHAnsi"/>
          <w:sz w:val="20"/>
          <w:szCs w:val="20"/>
          <w:lang w:val="fr-FR"/>
        </w:rPr>
      </w:pPr>
      <w:r w:rsidRPr="00314582">
        <w:rPr>
          <w:rFonts w:asciiTheme="minorHAnsi" w:eastAsia="Calibri" w:hAnsiTheme="minorHAnsi" w:cstheme="minorHAnsi"/>
          <w:sz w:val="20"/>
          <w:szCs w:val="20"/>
          <w:lang w:val="fr-FR"/>
        </w:rPr>
        <w:t xml:space="preserve">La nouvelle </w:t>
      </w:r>
      <w:r w:rsidRPr="00314582">
        <w:rPr>
          <w:rFonts w:asciiTheme="minorHAnsi" w:eastAsia="Calibri" w:hAnsiTheme="minorHAnsi" w:cstheme="minorHAnsi"/>
          <w:b/>
          <w:bCs/>
          <w:sz w:val="20"/>
          <w:szCs w:val="20"/>
          <w:lang w:val="fr-FR"/>
        </w:rPr>
        <w:t xml:space="preserve">BU Impression et Conversion </w:t>
      </w:r>
      <w:r w:rsidRPr="00314582">
        <w:rPr>
          <w:rFonts w:asciiTheme="minorHAnsi" w:eastAsia="Calibri" w:hAnsiTheme="minorHAnsi" w:cstheme="minorHAnsi"/>
          <w:sz w:val="20"/>
          <w:szCs w:val="20"/>
          <w:lang w:val="fr-FR"/>
        </w:rPr>
        <w:t>(anciennement Sheet Fed et Web Fed)</w:t>
      </w:r>
      <w:r w:rsidRPr="00314582">
        <w:rPr>
          <w:rFonts w:asciiTheme="minorHAnsi" w:eastAsia="Calibri" w:hAnsiTheme="minorHAnsi" w:cstheme="minorHAnsi"/>
          <w:b/>
          <w:bCs/>
          <w:sz w:val="20"/>
          <w:szCs w:val="20"/>
          <w:lang w:val="fr-FR"/>
        </w:rPr>
        <w:t xml:space="preserve"> dirigée par Stephan M</w:t>
      </w:r>
      <w:r w:rsidR="003F0A62">
        <w:rPr>
          <w:rFonts w:asciiTheme="minorHAnsi" w:eastAsia="Calibri" w:hAnsiTheme="minorHAnsi" w:cstheme="minorHAnsi"/>
          <w:b/>
          <w:bCs/>
          <w:sz w:val="20"/>
          <w:szCs w:val="20"/>
          <w:lang w:val="fr-FR"/>
        </w:rPr>
        <w:t>ä</w:t>
      </w:r>
      <w:r w:rsidRPr="00314582">
        <w:rPr>
          <w:rFonts w:asciiTheme="minorHAnsi" w:eastAsia="Calibri" w:hAnsiTheme="minorHAnsi" w:cstheme="minorHAnsi"/>
          <w:b/>
          <w:bCs/>
          <w:sz w:val="20"/>
          <w:szCs w:val="20"/>
          <w:lang w:val="fr-FR"/>
        </w:rPr>
        <w:t>rz</w:t>
      </w:r>
      <w:r w:rsidRPr="00314582">
        <w:rPr>
          <w:rFonts w:asciiTheme="minorHAnsi" w:eastAsia="Calibri" w:hAnsiTheme="minorHAnsi" w:cstheme="minorHAnsi"/>
          <w:sz w:val="20"/>
          <w:szCs w:val="20"/>
          <w:lang w:val="fr-FR"/>
        </w:rPr>
        <w:t xml:space="preserve"> , développera des produits et des solutions. Chaque produit sera conçu dans un esprit entrepreneurial afin de mieux répondre aux besoins des clients et du secteur, permettant d’accélérer l’innovation, d’améliorer la qualité et, au final, d’augmenter la satisfaction client.</w:t>
      </w:r>
    </w:p>
    <w:p w14:paraId="409A22B2" w14:textId="77777777" w:rsidR="003B0810" w:rsidRPr="00314582" w:rsidRDefault="003B0810" w:rsidP="003B0810">
      <w:pPr>
        <w:suppressAutoHyphens/>
        <w:autoSpaceDN w:val="0"/>
        <w:spacing w:after="160" w:line="256" w:lineRule="auto"/>
        <w:textAlignment w:val="baseline"/>
        <w:rPr>
          <w:rFonts w:asciiTheme="minorHAnsi" w:eastAsia="Calibri" w:hAnsiTheme="minorHAnsi" w:cstheme="minorHAnsi"/>
          <w:sz w:val="20"/>
          <w:szCs w:val="20"/>
          <w:lang w:val="fr-FR"/>
        </w:rPr>
      </w:pPr>
      <w:r w:rsidRPr="00314582">
        <w:rPr>
          <w:rFonts w:asciiTheme="minorHAnsi" w:eastAsia="Calibri" w:hAnsiTheme="minorHAnsi" w:cstheme="minorHAnsi"/>
          <w:sz w:val="20"/>
          <w:szCs w:val="20"/>
          <w:lang w:val="fr-FR"/>
        </w:rPr>
        <w:t xml:space="preserve">La </w:t>
      </w:r>
      <w:r w:rsidRPr="00314582">
        <w:rPr>
          <w:rFonts w:asciiTheme="minorHAnsi" w:eastAsia="Calibri" w:hAnsiTheme="minorHAnsi" w:cstheme="minorHAnsi"/>
          <w:b/>
          <w:bCs/>
          <w:sz w:val="20"/>
          <w:szCs w:val="20"/>
          <w:lang w:val="fr-FR"/>
        </w:rPr>
        <w:t>BU Services et Performance (anciennement BU Services) dirigée par Julien Laran</w:t>
      </w:r>
      <w:r w:rsidRPr="00314582">
        <w:rPr>
          <w:rFonts w:asciiTheme="minorHAnsi" w:eastAsia="Calibri" w:hAnsiTheme="minorHAnsi" w:cstheme="minorHAnsi"/>
          <w:sz w:val="20"/>
          <w:szCs w:val="20"/>
          <w:lang w:val="fr-FR"/>
        </w:rPr>
        <w:t xml:space="preserve">, continuera à fournir des services visant à maximiser le temps de production et à accroître les performances globales des sites de transformation. L'Internet des objets permettra aux convertisseurs de prendre des décisions basées sur des faits et d'optimiser l'ensemble de leur production. </w:t>
      </w:r>
      <w:bookmarkStart w:id="0" w:name="_Hlk57122771"/>
      <w:r w:rsidRPr="00314582">
        <w:rPr>
          <w:rFonts w:asciiTheme="minorHAnsi" w:eastAsia="Calibri" w:hAnsiTheme="minorHAnsi" w:cstheme="minorHAnsi"/>
          <w:sz w:val="20"/>
          <w:szCs w:val="20"/>
          <w:lang w:val="fr-FR"/>
        </w:rPr>
        <w:t>BOBST Connect jouera un rôle plus central dans l’accompagnement de nos clients.</w:t>
      </w:r>
    </w:p>
    <w:bookmarkEnd w:id="0"/>
    <w:p w14:paraId="7431D868" w14:textId="38899783" w:rsidR="003B0810" w:rsidRPr="00314582" w:rsidRDefault="003B0810" w:rsidP="003B0810">
      <w:pPr>
        <w:suppressAutoHyphens/>
        <w:autoSpaceDN w:val="0"/>
        <w:spacing w:after="160" w:line="256" w:lineRule="auto"/>
        <w:textAlignment w:val="baseline"/>
        <w:rPr>
          <w:rFonts w:asciiTheme="minorHAnsi" w:eastAsia="Calibri" w:hAnsiTheme="minorHAnsi" w:cstheme="minorHAnsi"/>
          <w:sz w:val="20"/>
          <w:szCs w:val="20"/>
          <w:lang w:val="fr-FR"/>
        </w:rPr>
      </w:pPr>
      <w:r w:rsidRPr="00314582">
        <w:rPr>
          <w:rFonts w:asciiTheme="minorHAnsi" w:eastAsia="Calibri" w:hAnsiTheme="minorHAnsi" w:cstheme="minorHAnsi"/>
          <w:sz w:val="20"/>
          <w:szCs w:val="20"/>
          <w:lang w:val="fr-FR"/>
        </w:rPr>
        <w:t xml:space="preserve">Ces deux unités commerciales s'appuieront sur une organisation simplifiée, à la fois plus agile et plus accessible. Ces deux unités commerciales identiques (fonctionnant selon une approche par zone géographique et par secteur) desserviront des </w:t>
      </w:r>
      <w:bookmarkStart w:id="1" w:name="_Hlk57274719"/>
      <w:r w:rsidRPr="00314582">
        <w:rPr>
          <w:rFonts w:asciiTheme="minorHAnsi" w:eastAsia="Calibri" w:hAnsiTheme="minorHAnsi" w:cstheme="minorHAnsi"/>
          <w:sz w:val="20"/>
          <w:szCs w:val="20"/>
          <w:lang w:val="fr-FR"/>
        </w:rPr>
        <w:t>clients évoluant des secteurs des étiquettes, de l’emballage souple, des boîtes pliantes et du carton ondulé</w:t>
      </w:r>
      <w:bookmarkEnd w:id="1"/>
      <w:r w:rsidR="00314582" w:rsidRPr="00314582">
        <w:rPr>
          <w:rFonts w:asciiTheme="minorHAnsi" w:eastAsia="Calibri" w:hAnsiTheme="minorHAnsi" w:cstheme="minorHAnsi"/>
          <w:sz w:val="20"/>
          <w:szCs w:val="20"/>
          <w:lang w:val="fr-FR"/>
        </w:rPr>
        <w:t>.</w:t>
      </w:r>
      <w:r w:rsidRPr="00314582">
        <w:rPr>
          <w:rFonts w:asciiTheme="minorHAnsi" w:eastAsia="Calibri" w:hAnsiTheme="minorHAnsi" w:cstheme="minorHAnsi"/>
          <w:sz w:val="20"/>
          <w:szCs w:val="20"/>
          <w:lang w:val="fr-FR"/>
        </w:rPr>
        <w:t xml:space="preserve"> De nouvelles synergies entre les machines et les services permettront de créer de nouveaux modèles commerciaux. </w:t>
      </w:r>
    </w:p>
    <w:p w14:paraId="3DD2EA9E" w14:textId="77777777" w:rsidR="00D40AE0" w:rsidRPr="00314582" w:rsidRDefault="003B0810" w:rsidP="003B0810">
      <w:pPr>
        <w:suppressAutoHyphens/>
        <w:autoSpaceDN w:val="0"/>
        <w:spacing w:after="160" w:line="256" w:lineRule="auto"/>
        <w:textAlignment w:val="baseline"/>
        <w:rPr>
          <w:rFonts w:asciiTheme="minorHAnsi" w:eastAsia="Calibri" w:hAnsiTheme="minorHAnsi" w:cstheme="minorHAnsi"/>
          <w:sz w:val="20"/>
          <w:szCs w:val="20"/>
          <w:lang w:val="fr-FR"/>
        </w:rPr>
      </w:pPr>
      <w:r w:rsidRPr="00314582">
        <w:rPr>
          <w:rFonts w:asciiTheme="minorHAnsi" w:eastAsia="Calibri" w:hAnsiTheme="minorHAnsi" w:cstheme="minorHAnsi"/>
          <w:b/>
          <w:bCs/>
          <w:sz w:val="20"/>
          <w:szCs w:val="20"/>
          <w:lang w:val="fr-FR"/>
        </w:rPr>
        <w:t xml:space="preserve">Raphaël Indermühle </w:t>
      </w:r>
      <w:r w:rsidRPr="00314582">
        <w:rPr>
          <w:rFonts w:asciiTheme="minorHAnsi" w:eastAsia="Calibri" w:hAnsiTheme="minorHAnsi" w:cstheme="minorHAnsi"/>
          <w:sz w:val="20"/>
          <w:szCs w:val="20"/>
          <w:lang w:val="fr-FR"/>
        </w:rPr>
        <w:t xml:space="preserve">dirigera l’unité commerciale </w:t>
      </w:r>
      <w:r w:rsidRPr="00314582">
        <w:rPr>
          <w:rFonts w:asciiTheme="minorHAnsi" w:eastAsia="Calibri" w:hAnsiTheme="minorHAnsi" w:cstheme="minorHAnsi"/>
          <w:b/>
          <w:bCs/>
          <w:sz w:val="20"/>
          <w:szCs w:val="20"/>
          <w:lang w:val="fr-FR"/>
        </w:rPr>
        <w:t xml:space="preserve"> Impression et Conversion </w:t>
      </w:r>
      <w:r w:rsidRPr="00314582">
        <w:rPr>
          <w:rFonts w:asciiTheme="minorHAnsi" w:eastAsia="Calibri" w:hAnsiTheme="minorHAnsi" w:cstheme="minorHAnsi"/>
          <w:sz w:val="20"/>
          <w:szCs w:val="20"/>
          <w:lang w:val="fr-FR"/>
        </w:rPr>
        <w:t>et</w:t>
      </w:r>
      <w:r w:rsidRPr="00314582">
        <w:rPr>
          <w:rFonts w:asciiTheme="minorHAnsi" w:eastAsia="Calibri" w:hAnsiTheme="minorHAnsi" w:cstheme="minorHAnsi"/>
          <w:b/>
          <w:bCs/>
          <w:sz w:val="20"/>
          <w:szCs w:val="20"/>
          <w:lang w:val="fr-FR"/>
        </w:rPr>
        <w:t xml:space="preserve"> </w:t>
      </w:r>
      <w:bookmarkStart w:id="2" w:name="_Hlk57123327"/>
      <w:r w:rsidRPr="00314582">
        <w:rPr>
          <w:rFonts w:asciiTheme="minorHAnsi" w:eastAsia="Calibri" w:hAnsiTheme="minorHAnsi" w:cstheme="minorHAnsi"/>
          <w:b/>
          <w:bCs/>
          <w:sz w:val="20"/>
          <w:szCs w:val="20"/>
          <w:lang w:val="fr-FR"/>
        </w:rPr>
        <w:t xml:space="preserve">Christian Falk </w:t>
      </w:r>
      <w:bookmarkEnd w:id="2"/>
      <w:r w:rsidRPr="00314582">
        <w:rPr>
          <w:rFonts w:asciiTheme="minorHAnsi" w:eastAsia="Calibri" w:hAnsiTheme="minorHAnsi" w:cstheme="minorHAnsi"/>
          <w:sz w:val="20"/>
          <w:szCs w:val="20"/>
          <w:lang w:val="fr-FR"/>
        </w:rPr>
        <w:t xml:space="preserve">prendra la tête de l’unité </w:t>
      </w:r>
      <w:r w:rsidRPr="00314582">
        <w:rPr>
          <w:rFonts w:asciiTheme="minorHAnsi" w:eastAsia="Calibri" w:hAnsiTheme="minorHAnsi" w:cstheme="minorHAnsi"/>
          <w:b/>
          <w:bCs/>
          <w:sz w:val="20"/>
          <w:szCs w:val="20"/>
          <w:lang w:val="fr-FR"/>
        </w:rPr>
        <w:t>Services et Performance</w:t>
      </w:r>
      <w:r w:rsidRPr="00314582">
        <w:rPr>
          <w:rFonts w:asciiTheme="minorHAnsi" w:eastAsia="Calibri" w:hAnsiTheme="minorHAnsi" w:cstheme="minorHAnsi"/>
          <w:sz w:val="20"/>
          <w:szCs w:val="20"/>
          <w:lang w:val="fr-FR"/>
        </w:rPr>
        <w:t>. Ces deux entités seront opérationnelles à partir du 1er janvier 2021.</w:t>
      </w:r>
    </w:p>
    <w:p w14:paraId="15FEF91C" w14:textId="5EE622D3" w:rsidR="003B0810" w:rsidRPr="00314582" w:rsidRDefault="003B0810" w:rsidP="003B0810">
      <w:pPr>
        <w:suppressAutoHyphens/>
        <w:autoSpaceDN w:val="0"/>
        <w:spacing w:after="160" w:line="256" w:lineRule="auto"/>
        <w:textAlignment w:val="baseline"/>
        <w:rPr>
          <w:rFonts w:asciiTheme="minorHAnsi" w:eastAsia="Calibri" w:hAnsiTheme="minorHAnsi" w:cstheme="minorHAnsi"/>
          <w:sz w:val="20"/>
          <w:szCs w:val="20"/>
          <w:lang w:val="fr-FR"/>
        </w:rPr>
      </w:pPr>
      <w:r w:rsidRPr="00314582">
        <w:rPr>
          <w:rFonts w:asciiTheme="minorHAnsi" w:eastAsia="Calibri" w:hAnsiTheme="minorHAnsi" w:cstheme="minorHAnsi"/>
          <w:sz w:val="20"/>
          <w:szCs w:val="20"/>
          <w:lang w:val="fr-FR"/>
        </w:rPr>
        <w:t xml:space="preserve">Découvrez ci-dessous les huit régions nouvellement créées et leurs directeurs commerciaux régionaux respectifs. </w:t>
      </w:r>
    </w:p>
    <w:tbl>
      <w:tblPr>
        <w:tblW w:w="9493" w:type="dxa"/>
        <w:tblLook w:val="04A0" w:firstRow="1" w:lastRow="0" w:firstColumn="1" w:lastColumn="0" w:noHBand="0" w:noVBand="1"/>
      </w:tblPr>
      <w:tblGrid>
        <w:gridCol w:w="3964"/>
        <w:gridCol w:w="2835"/>
        <w:gridCol w:w="2694"/>
      </w:tblGrid>
      <w:tr w:rsidR="003B0810" w:rsidRPr="003B0810" w14:paraId="01137A0E" w14:textId="77777777" w:rsidTr="006A5288">
        <w:trPr>
          <w:trHeight w:val="280"/>
        </w:trPr>
        <w:tc>
          <w:tcPr>
            <w:tcW w:w="3964" w:type="dxa"/>
            <w:tcBorders>
              <w:top w:val="single" w:sz="4" w:space="0" w:color="auto"/>
              <w:left w:val="single" w:sz="4" w:space="0" w:color="auto"/>
              <w:bottom w:val="single" w:sz="4" w:space="0" w:color="auto"/>
              <w:right w:val="single" w:sz="4" w:space="0" w:color="auto"/>
            </w:tcBorders>
            <w:shd w:val="clear" w:color="000000" w:fill="DCDCDC"/>
            <w:noWrap/>
            <w:vAlign w:val="center"/>
            <w:hideMark/>
          </w:tcPr>
          <w:p w14:paraId="5FE027E6" w14:textId="77777777" w:rsidR="003B0810" w:rsidRPr="003B0810" w:rsidRDefault="003B0810" w:rsidP="003B0810">
            <w:pPr>
              <w:spacing w:line="240" w:lineRule="auto"/>
              <w:rPr>
                <w:rFonts w:cs="Arial"/>
                <w:b/>
                <w:bCs/>
                <w:sz w:val="18"/>
                <w:szCs w:val="18"/>
                <w:lang w:eastAsia="en-GB"/>
              </w:rPr>
            </w:pPr>
            <w:r w:rsidRPr="003B0810">
              <w:rPr>
                <w:rFonts w:cs="Arial"/>
                <w:b/>
                <w:bCs/>
                <w:sz w:val="18"/>
                <w:szCs w:val="18"/>
                <w:lang w:val="fr-FR" w:eastAsia="en-GB"/>
              </w:rPr>
              <w:t>Zones géographiques</w:t>
            </w:r>
          </w:p>
        </w:tc>
        <w:tc>
          <w:tcPr>
            <w:tcW w:w="2835" w:type="dxa"/>
            <w:tcBorders>
              <w:top w:val="single" w:sz="4" w:space="0" w:color="auto"/>
              <w:left w:val="nil"/>
              <w:bottom w:val="single" w:sz="4" w:space="0" w:color="auto"/>
              <w:right w:val="single" w:sz="4" w:space="0" w:color="auto"/>
            </w:tcBorders>
            <w:shd w:val="clear" w:color="000000" w:fill="DCDCDC"/>
            <w:noWrap/>
            <w:vAlign w:val="center"/>
            <w:hideMark/>
          </w:tcPr>
          <w:p w14:paraId="35677BCC" w14:textId="77777777" w:rsidR="003B0810" w:rsidRPr="003B0810" w:rsidRDefault="003B0810" w:rsidP="003B0810">
            <w:pPr>
              <w:spacing w:line="240" w:lineRule="auto"/>
              <w:rPr>
                <w:rFonts w:cs="Arial"/>
                <w:b/>
                <w:bCs/>
                <w:sz w:val="18"/>
                <w:szCs w:val="18"/>
                <w:lang w:eastAsia="en-GB"/>
              </w:rPr>
            </w:pPr>
            <w:r w:rsidRPr="003B0810">
              <w:rPr>
                <w:rFonts w:cs="Arial"/>
                <w:b/>
                <w:bCs/>
                <w:sz w:val="18"/>
                <w:szCs w:val="18"/>
                <w:lang w:val="fr-FR" w:eastAsia="en-GB"/>
              </w:rPr>
              <w:t>Impression et Conversion</w:t>
            </w:r>
          </w:p>
        </w:tc>
        <w:tc>
          <w:tcPr>
            <w:tcW w:w="2694" w:type="dxa"/>
            <w:tcBorders>
              <w:top w:val="single" w:sz="4" w:space="0" w:color="auto"/>
              <w:left w:val="nil"/>
              <w:bottom w:val="single" w:sz="4" w:space="0" w:color="auto"/>
              <w:right w:val="single" w:sz="4" w:space="0" w:color="auto"/>
            </w:tcBorders>
            <w:shd w:val="clear" w:color="000000" w:fill="DCDCDC"/>
            <w:noWrap/>
            <w:vAlign w:val="center"/>
            <w:hideMark/>
          </w:tcPr>
          <w:p w14:paraId="5E050165" w14:textId="77777777" w:rsidR="003B0810" w:rsidRPr="003B0810" w:rsidRDefault="003B0810" w:rsidP="003B0810">
            <w:pPr>
              <w:spacing w:line="240" w:lineRule="auto"/>
              <w:rPr>
                <w:rFonts w:cs="Arial"/>
                <w:b/>
                <w:bCs/>
                <w:sz w:val="18"/>
                <w:szCs w:val="18"/>
                <w:lang w:eastAsia="en-GB"/>
              </w:rPr>
            </w:pPr>
            <w:r w:rsidRPr="003B0810">
              <w:rPr>
                <w:rFonts w:cs="Arial"/>
                <w:b/>
                <w:bCs/>
                <w:sz w:val="18"/>
                <w:szCs w:val="18"/>
                <w:lang w:val="fr-FR" w:eastAsia="en-GB"/>
              </w:rPr>
              <w:t>Services &amp; Performance</w:t>
            </w:r>
          </w:p>
        </w:tc>
      </w:tr>
      <w:tr w:rsidR="003B0810" w:rsidRPr="003B0810" w14:paraId="3D8B0916" w14:textId="77777777" w:rsidTr="006A5288">
        <w:trPr>
          <w:trHeight w:val="26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633E0FF3" w14:textId="77777777" w:rsidR="003B0810" w:rsidRPr="003B0810" w:rsidRDefault="003B0810" w:rsidP="003B0810">
            <w:pPr>
              <w:spacing w:line="240" w:lineRule="auto"/>
              <w:rPr>
                <w:rFonts w:cs="Arial"/>
                <w:sz w:val="18"/>
                <w:szCs w:val="18"/>
                <w:lang w:eastAsia="en-GB"/>
              </w:rPr>
            </w:pPr>
            <w:r w:rsidRPr="003B0810">
              <w:rPr>
                <w:rFonts w:cs="Arial"/>
                <w:sz w:val="18"/>
                <w:szCs w:val="18"/>
                <w:lang w:val="fr-FR" w:eastAsia="en-GB"/>
              </w:rPr>
              <w:t>Amérique du Nord et Amérique latine</w:t>
            </w:r>
          </w:p>
        </w:tc>
        <w:tc>
          <w:tcPr>
            <w:tcW w:w="2835" w:type="dxa"/>
            <w:tcBorders>
              <w:top w:val="nil"/>
              <w:left w:val="nil"/>
              <w:bottom w:val="single" w:sz="4" w:space="0" w:color="auto"/>
              <w:right w:val="single" w:sz="4" w:space="0" w:color="auto"/>
            </w:tcBorders>
            <w:shd w:val="clear" w:color="auto" w:fill="auto"/>
            <w:noWrap/>
            <w:vAlign w:val="center"/>
            <w:hideMark/>
          </w:tcPr>
          <w:p w14:paraId="5EF6C534" w14:textId="77777777" w:rsidR="003B0810" w:rsidRPr="003B0810" w:rsidRDefault="003B0810" w:rsidP="003B0810">
            <w:pPr>
              <w:spacing w:line="240" w:lineRule="auto"/>
              <w:rPr>
                <w:rFonts w:cs="Arial"/>
                <w:sz w:val="18"/>
                <w:szCs w:val="18"/>
                <w:lang w:eastAsia="en-GB"/>
              </w:rPr>
            </w:pPr>
            <w:r w:rsidRPr="003B0810">
              <w:rPr>
                <w:rFonts w:cs="Arial"/>
                <w:sz w:val="18"/>
                <w:szCs w:val="18"/>
                <w:lang w:val="fr-FR" w:eastAsia="en-GB"/>
              </w:rPr>
              <w:t>Emilio Corti</w:t>
            </w:r>
          </w:p>
        </w:tc>
        <w:tc>
          <w:tcPr>
            <w:tcW w:w="2694" w:type="dxa"/>
            <w:tcBorders>
              <w:top w:val="nil"/>
              <w:left w:val="nil"/>
              <w:bottom w:val="single" w:sz="4" w:space="0" w:color="auto"/>
              <w:right w:val="single" w:sz="4" w:space="0" w:color="auto"/>
            </w:tcBorders>
            <w:shd w:val="clear" w:color="auto" w:fill="auto"/>
            <w:noWrap/>
            <w:vAlign w:val="center"/>
            <w:hideMark/>
          </w:tcPr>
          <w:p w14:paraId="3BF83EB9" w14:textId="77777777" w:rsidR="003B0810" w:rsidRPr="003B0810" w:rsidRDefault="003B0810" w:rsidP="003B0810">
            <w:pPr>
              <w:spacing w:line="240" w:lineRule="auto"/>
              <w:rPr>
                <w:rFonts w:cs="Arial"/>
                <w:sz w:val="18"/>
                <w:szCs w:val="18"/>
                <w:lang w:eastAsia="en-GB"/>
              </w:rPr>
            </w:pPr>
            <w:r w:rsidRPr="003B0810">
              <w:rPr>
                <w:rFonts w:cs="Arial"/>
                <w:sz w:val="18"/>
                <w:szCs w:val="18"/>
                <w:lang w:val="fr-FR" w:eastAsia="en-GB"/>
              </w:rPr>
              <w:t>Alex Gigon</w:t>
            </w:r>
          </w:p>
        </w:tc>
      </w:tr>
      <w:tr w:rsidR="003B0810" w:rsidRPr="003B0810" w14:paraId="19A463E7" w14:textId="77777777" w:rsidTr="006A5288">
        <w:trPr>
          <w:trHeight w:val="26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19E86E95" w14:textId="77777777" w:rsidR="003B0810" w:rsidRPr="003B0810" w:rsidRDefault="003B0810" w:rsidP="003B0810">
            <w:pPr>
              <w:spacing w:line="240" w:lineRule="auto"/>
              <w:rPr>
                <w:rFonts w:cs="Arial"/>
                <w:sz w:val="18"/>
                <w:szCs w:val="18"/>
                <w:lang w:eastAsia="en-GB"/>
              </w:rPr>
            </w:pPr>
            <w:r w:rsidRPr="003B0810">
              <w:rPr>
                <w:rFonts w:cs="Arial"/>
                <w:sz w:val="18"/>
                <w:szCs w:val="18"/>
                <w:lang w:val="fr-FR" w:eastAsia="en-GB"/>
              </w:rPr>
              <w:t>France, Espagne, Portugal, Italie, Grèce</w:t>
            </w:r>
          </w:p>
        </w:tc>
        <w:tc>
          <w:tcPr>
            <w:tcW w:w="2835" w:type="dxa"/>
            <w:tcBorders>
              <w:top w:val="nil"/>
              <w:left w:val="nil"/>
              <w:bottom w:val="single" w:sz="4" w:space="0" w:color="auto"/>
              <w:right w:val="single" w:sz="4" w:space="0" w:color="auto"/>
            </w:tcBorders>
            <w:shd w:val="clear" w:color="auto" w:fill="auto"/>
            <w:noWrap/>
            <w:vAlign w:val="center"/>
            <w:hideMark/>
          </w:tcPr>
          <w:p w14:paraId="04E6F897" w14:textId="1B48AC92" w:rsidR="003B0810" w:rsidRPr="003B0810" w:rsidRDefault="003B0810" w:rsidP="003B0810">
            <w:pPr>
              <w:spacing w:line="240" w:lineRule="auto"/>
              <w:rPr>
                <w:rFonts w:cs="Arial"/>
                <w:sz w:val="18"/>
                <w:szCs w:val="18"/>
                <w:lang w:eastAsia="en-GB"/>
              </w:rPr>
            </w:pPr>
            <w:r w:rsidRPr="003B0810">
              <w:rPr>
                <w:rFonts w:cs="Arial"/>
                <w:sz w:val="18"/>
                <w:szCs w:val="18"/>
                <w:lang w:val="fr-FR" w:eastAsia="en-GB"/>
              </w:rPr>
              <w:t>Carlos Santos</w:t>
            </w:r>
          </w:p>
        </w:tc>
        <w:tc>
          <w:tcPr>
            <w:tcW w:w="2694" w:type="dxa"/>
            <w:tcBorders>
              <w:top w:val="nil"/>
              <w:left w:val="nil"/>
              <w:bottom w:val="single" w:sz="4" w:space="0" w:color="auto"/>
              <w:right w:val="single" w:sz="4" w:space="0" w:color="auto"/>
            </w:tcBorders>
            <w:shd w:val="clear" w:color="auto" w:fill="auto"/>
            <w:noWrap/>
            <w:vAlign w:val="center"/>
            <w:hideMark/>
          </w:tcPr>
          <w:p w14:paraId="2BDB5DA6" w14:textId="77777777" w:rsidR="003B0810" w:rsidRPr="003B0810" w:rsidRDefault="003B0810" w:rsidP="003B0810">
            <w:pPr>
              <w:spacing w:line="240" w:lineRule="auto"/>
              <w:rPr>
                <w:rFonts w:cs="Arial"/>
                <w:sz w:val="18"/>
                <w:szCs w:val="18"/>
                <w:lang w:eastAsia="en-GB"/>
              </w:rPr>
            </w:pPr>
            <w:r w:rsidRPr="003B0810">
              <w:rPr>
                <w:rFonts w:cs="Arial"/>
                <w:sz w:val="18"/>
                <w:szCs w:val="18"/>
                <w:lang w:val="fr-FR" w:eastAsia="en-GB"/>
              </w:rPr>
              <w:t>Massimiliano Manara</w:t>
            </w:r>
          </w:p>
        </w:tc>
      </w:tr>
      <w:tr w:rsidR="003B0810" w:rsidRPr="003B0810" w14:paraId="63887208" w14:textId="77777777" w:rsidTr="006A5288">
        <w:trPr>
          <w:trHeight w:val="26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52994A0B" w14:textId="77777777" w:rsidR="003B0810" w:rsidRPr="003B0810" w:rsidRDefault="003B0810" w:rsidP="003B0810">
            <w:pPr>
              <w:spacing w:line="240" w:lineRule="auto"/>
              <w:rPr>
                <w:rFonts w:cs="Arial"/>
                <w:sz w:val="18"/>
                <w:szCs w:val="18"/>
                <w:lang w:eastAsia="en-GB"/>
              </w:rPr>
            </w:pPr>
            <w:r w:rsidRPr="003B0810">
              <w:rPr>
                <w:rFonts w:cs="Arial"/>
                <w:sz w:val="18"/>
                <w:szCs w:val="18"/>
                <w:lang w:val="fr-FR" w:eastAsia="en-GB"/>
              </w:rPr>
              <w:t>Allemagne, Autriche, Suisse</w:t>
            </w:r>
          </w:p>
        </w:tc>
        <w:tc>
          <w:tcPr>
            <w:tcW w:w="2835" w:type="dxa"/>
            <w:tcBorders>
              <w:top w:val="nil"/>
              <w:left w:val="nil"/>
              <w:bottom w:val="single" w:sz="4" w:space="0" w:color="auto"/>
              <w:right w:val="single" w:sz="4" w:space="0" w:color="auto"/>
            </w:tcBorders>
            <w:shd w:val="clear" w:color="auto" w:fill="auto"/>
            <w:noWrap/>
            <w:vAlign w:val="center"/>
            <w:hideMark/>
          </w:tcPr>
          <w:p w14:paraId="5DBA5984" w14:textId="77777777" w:rsidR="003B0810" w:rsidRPr="003B0810" w:rsidRDefault="003B0810" w:rsidP="003B0810">
            <w:pPr>
              <w:spacing w:line="240" w:lineRule="auto"/>
              <w:rPr>
                <w:rFonts w:cs="Arial"/>
                <w:sz w:val="18"/>
                <w:szCs w:val="18"/>
                <w:lang w:eastAsia="en-GB"/>
              </w:rPr>
            </w:pPr>
            <w:r w:rsidRPr="003B0810">
              <w:rPr>
                <w:rFonts w:cs="Arial"/>
                <w:sz w:val="18"/>
                <w:szCs w:val="18"/>
                <w:lang w:val="fr-FR" w:eastAsia="en-GB"/>
              </w:rPr>
              <w:t>Pascal Perruchoud</w:t>
            </w:r>
          </w:p>
        </w:tc>
        <w:tc>
          <w:tcPr>
            <w:tcW w:w="2694" w:type="dxa"/>
            <w:tcBorders>
              <w:top w:val="nil"/>
              <w:left w:val="nil"/>
              <w:bottom w:val="single" w:sz="4" w:space="0" w:color="auto"/>
              <w:right w:val="single" w:sz="4" w:space="0" w:color="auto"/>
            </w:tcBorders>
            <w:shd w:val="clear" w:color="auto" w:fill="auto"/>
            <w:noWrap/>
            <w:vAlign w:val="center"/>
            <w:hideMark/>
          </w:tcPr>
          <w:p w14:paraId="51090EC5" w14:textId="77777777" w:rsidR="003B0810" w:rsidRPr="003B0810" w:rsidRDefault="003B0810" w:rsidP="003B0810">
            <w:pPr>
              <w:spacing w:line="240" w:lineRule="auto"/>
              <w:rPr>
                <w:rFonts w:cs="Arial"/>
                <w:sz w:val="18"/>
                <w:szCs w:val="18"/>
                <w:lang w:eastAsia="en-GB"/>
              </w:rPr>
            </w:pPr>
            <w:r w:rsidRPr="003B0810">
              <w:rPr>
                <w:rFonts w:cs="Arial"/>
                <w:sz w:val="18"/>
                <w:szCs w:val="18"/>
                <w:lang w:val="fr-FR" w:eastAsia="en-GB"/>
              </w:rPr>
              <w:t>Dirk Corsten - Didier Mermod</w:t>
            </w:r>
          </w:p>
        </w:tc>
      </w:tr>
      <w:tr w:rsidR="003B0810" w:rsidRPr="003B0810" w14:paraId="40B32513" w14:textId="77777777" w:rsidTr="006A5288">
        <w:trPr>
          <w:trHeight w:val="26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048B8E47" w14:textId="77777777" w:rsidR="003B0810" w:rsidRPr="003B0810" w:rsidRDefault="003B0810" w:rsidP="003B0810">
            <w:pPr>
              <w:spacing w:line="240" w:lineRule="auto"/>
              <w:rPr>
                <w:rFonts w:cs="Arial"/>
                <w:sz w:val="18"/>
                <w:szCs w:val="18"/>
                <w:lang w:eastAsia="en-GB"/>
              </w:rPr>
            </w:pPr>
            <w:r w:rsidRPr="003B0810">
              <w:rPr>
                <w:rFonts w:cs="Arial"/>
                <w:sz w:val="18"/>
                <w:szCs w:val="18"/>
                <w:lang w:val="fr-FR" w:eastAsia="en-GB"/>
              </w:rPr>
              <w:t>Royaume-Uni et Irlande, Scandinavie, Benelux</w:t>
            </w:r>
          </w:p>
        </w:tc>
        <w:tc>
          <w:tcPr>
            <w:tcW w:w="2835" w:type="dxa"/>
            <w:tcBorders>
              <w:top w:val="nil"/>
              <w:left w:val="nil"/>
              <w:bottom w:val="single" w:sz="4" w:space="0" w:color="auto"/>
              <w:right w:val="single" w:sz="4" w:space="0" w:color="auto"/>
            </w:tcBorders>
            <w:shd w:val="clear" w:color="auto" w:fill="auto"/>
            <w:noWrap/>
            <w:vAlign w:val="center"/>
            <w:hideMark/>
          </w:tcPr>
          <w:p w14:paraId="78DDE672" w14:textId="77777777" w:rsidR="003B0810" w:rsidRPr="003B0810" w:rsidRDefault="003B0810" w:rsidP="003B0810">
            <w:pPr>
              <w:spacing w:line="240" w:lineRule="auto"/>
              <w:rPr>
                <w:rFonts w:cs="Arial"/>
                <w:sz w:val="18"/>
                <w:szCs w:val="18"/>
                <w:lang w:eastAsia="en-GB"/>
              </w:rPr>
            </w:pPr>
            <w:r w:rsidRPr="003B0810">
              <w:rPr>
                <w:rFonts w:cs="Arial"/>
                <w:sz w:val="18"/>
                <w:szCs w:val="18"/>
                <w:lang w:val="fr-FR" w:eastAsia="en-GB"/>
              </w:rPr>
              <w:t>Craig Moran</w:t>
            </w:r>
          </w:p>
        </w:tc>
        <w:tc>
          <w:tcPr>
            <w:tcW w:w="2694" w:type="dxa"/>
            <w:tcBorders>
              <w:top w:val="nil"/>
              <w:left w:val="nil"/>
              <w:bottom w:val="single" w:sz="4" w:space="0" w:color="auto"/>
              <w:right w:val="single" w:sz="4" w:space="0" w:color="auto"/>
            </w:tcBorders>
            <w:shd w:val="clear" w:color="auto" w:fill="auto"/>
            <w:noWrap/>
            <w:vAlign w:val="center"/>
            <w:hideMark/>
          </w:tcPr>
          <w:p w14:paraId="73DEAD81" w14:textId="77777777" w:rsidR="003B0810" w:rsidRPr="003B0810" w:rsidRDefault="003B0810" w:rsidP="003B0810">
            <w:pPr>
              <w:spacing w:line="240" w:lineRule="auto"/>
              <w:rPr>
                <w:rFonts w:cs="Arial"/>
                <w:sz w:val="18"/>
                <w:szCs w:val="18"/>
                <w:lang w:eastAsia="en-GB"/>
              </w:rPr>
            </w:pPr>
            <w:r w:rsidRPr="003B0810">
              <w:rPr>
                <w:rFonts w:cs="Arial"/>
                <w:sz w:val="18"/>
                <w:szCs w:val="18"/>
                <w:lang w:val="fr-FR" w:eastAsia="en-GB"/>
              </w:rPr>
              <w:t>Neil Jones</w:t>
            </w:r>
          </w:p>
        </w:tc>
      </w:tr>
      <w:tr w:rsidR="003B0810" w:rsidRPr="003B0810" w14:paraId="54AD1D93" w14:textId="77777777" w:rsidTr="006A5288">
        <w:trPr>
          <w:trHeight w:val="26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33A22371" w14:textId="77777777" w:rsidR="003B0810" w:rsidRPr="003B0810" w:rsidRDefault="003B0810" w:rsidP="003B0810">
            <w:pPr>
              <w:spacing w:line="240" w:lineRule="auto"/>
              <w:rPr>
                <w:rFonts w:cs="Arial"/>
                <w:sz w:val="18"/>
                <w:szCs w:val="18"/>
                <w:lang w:eastAsia="en-GB"/>
              </w:rPr>
            </w:pPr>
            <w:r w:rsidRPr="003B0810">
              <w:rPr>
                <w:rFonts w:cs="Arial"/>
                <w:sz w:val="18"/>
                <w:szCs w:val="18"/>
                <w:lang w:val="fr-FR" w:eastAsia="en-GB"/>
              </w:rPr>
              <w:t>Russie et Europe centrale</w:t>
            </w:r>
          </w:p>
        </w:tc>
        <w:tc>
          <w:tcPr>
            <w:tcW w:w="2835" w:type="dxa"/>
            <w:tcBorders>
              <w:top w:val="nil"/>
              <w:left w:val="nil"/>
              <w:bottom w:val="single" w:sz="4" w:space="0" w:color="auto"/>
              <w:right w:val="single" w:sz="4" w:space="0" w:color="auto"/>
            </w:tcBorders>
            <w:shd w:val="clear" w:color="auto" w:fill="auto"/>
            <w:noWrap/>
            <w:vAlign w:val="center"/>
            <w:hideMark/>
          </w:tcPr>
          <w:p w14:paraId="6E368236" w14:textId="77777777" w:rsidR="003B0810" w:rsidRPr="003B0810" w:rsidRDefault="003B0810" w:rsidP="003B0810">
            <w:pPr>
              <w:spacing w:line="240" w:lineRule="auto"/>
              <w:rPr>
                <w:rFonts w:cs="Arial"/>
                <w:sz w:val="18"/>
                <w:szCs w:val="18"/>
                <w:lang w:eastAsia="en-GB"/>
              </w:rPr>
            </w:pPr>
            <w:r w:rsidRPr="003B0810">
              <w:rPr>
                <w:rFonts w:cs="Arial"/>
                <w:sz w:val="18"/>
                <w:szCs w:val="18"/>
                <w:lang w:val="fr-FR" w:eastAsia="en-GB"/>
              </w:rPr>
              <w:t>Libor Panus</w:t>
            </w:r>
          </w:p>
        </w:tc>
        <w:tc>
          <w:tcPr>
            <w:tcW w:w="2694" w:type="dxa"/>
            <w:tcBorders>
              <w:top w:val="nil"/>
              <w:left w:val="nil"/>
              <w:bottom w:val="single" w:sz="4" w:space="0" w:color="auto"/>
              <w:right w:val="single" w:sz="4" w:space="0" w:color="auto"/>
            </w:tcBorders>
            <w:shd w:val="clear" w:color="auto" w:fill="auto"/>
            <w:noWrap/>
            <w:vAlign w:val="center"/>
            <w:hideMark/>
          </w:tcPr>
          <w:p w14:paraId="3C2E3B7E" w14:textId="77777777" w:rsidR="003B0810" w:rsidRPr="003B0810" w:rsidRDefault="003B0810" w:rsidP="003B0810">
            <w:pPr>
              <w:spacing w:line="240" w:lineRule="auto"/>
              <w:rPr>
                <w:rFonts w:cs="Arial"/>
                <w:sz w:val="18"/>
                <w:szCs w:val="18"/>
                <w:lang w:eastAsia="en-GB"/>
              </w:rPr>
            </w:pPr>
            <w:r w:rsidRPr="003B0810">
              <w:rPr>
                <w:rFonts w:cs="Arial"/>
                <w:sz w:val="18"/>
                <w:szCs w:val="18"/>
                <w:lang w:val="fr-FR" w:eastAsia="en-GB"/>
              </w:rPr>
              <w:t>Robert Jurkiewicz</w:t>
            </w:r>
          </w:p>
        </w:tc>
      </w:tr>
      <w:tr w:rsidR="003B0810" w:rsidRPr="003B0810" w14:paraId="46A6E1AB" w14:textId="77777777" w:rsidTr="006A5288">
        <w:trPr>
          <w:trHeight w:val="26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10547137" w14:textId="77777777" w:rsidR="003B0810" w:rsidRPr="003B0810" w:rsidRDefault="003B0810" w:rsidP="003B0810">
            <w:pPr>
              <w:spacing w:line="240" w:lineRule="auto"/>
              <w:rPr>
                <w:rFonts w:cs="Arial"/>
                <w:sz w:val="18"/>
                <w:szCs w:val="18"/>
                <w:lang w:eastAsia="en-GB"/>
              </w:rPr>
            </w:pPr>
            <w:r w:rsidRPr="003B0810">
              <w:rPr>
                <w:rFonts w:cs="Arial"/>
                <w:sz w:val="18"/>
                <w:szCs w:val="18"/>
                <w:lang w:val="fr-FR" w:eastAsia="en-GB"/>
              </w:rPr>
              <w:t>Grand Moyen-Orient, Afrique, Turquie, Iran</w:t>
            </w:r>
          </w:p>
        </w:tc>
        <w:tc>
          <w:tcPr>
            <w:tcW w:w="2835" w:type="dxa"/>
            <w:tcBorders>
              <w:top w:val="nil"/>
              <w:left w:val="nil"/>
              <w:bottom w:val="single" w:sz="4" w:space="0" w:color="auto"/>
              <w:right w:val="single" w:sz="4" w:space="0" w:color="auto"/>
            </w:tcBorders>
            <w:shd w:val="clear" w:color="auto" w:fill="auto"/>
            <w:noWrap/>
            <w:vAlign w:val="center"/>
            <w:hideMark/>
          </w:tcPr>
          <w:p w14:paraId="1287F22C" w14:textId="77777777" w:rsidR="003B0810" w:rsidRPr="003B0810" w:rsidRDefault="003B0810" w:rsidP="003B0810">
            <w:pPr>
              <w:spacing w:line="240" w:lineRule="auto"/>
              <w:rPr>
                <w:rFonts w:cs="Arial"/>
                <w:sz w:val="18"/>
                <w:szCs w:val="18"/>
                <w:lang w:eastAsia="en-GB"/>
              </w:rPr>
            </w:pPr>
            <w:r w:rsidRPr="003B0810">
              <w:rPr>
                <w:rFonts w:cs="Arial"/>
                <w:sz w:val="18"/>
                <w:szCs w:val="18"/>
                <w:lang w:val="fr-FR" w:eastAsia="en-GB"/>
              </w:rPr>
              <w:t>Eric Pavone</w:t>
            </w:r>
          </w:p>
        </w:tc>
        <w:tc>
          <w:tcPr>
            <w:tcW w:w="2694" w:type="dxa"/>
            <w:tcBorders>
              <w:top w:val="nil"/>
              <w:left w:val="nil"/>
              <w:bottom w:val="single" w:sz="4" w:space="0" w:color="auto"/>
              <w:right w:val="single" w:sz="4" w:space="0" w:color="auto"/>
            </w:tcBorders>
            <w:shd w:val="clear" w:color="auto" w:fill="auto"/>
            <w:noWrap/>
            <w:vAlign w:val="center"/>
            <w:hideMark/>
          </w:tcPr>
          <w:p w14:paraId="04623564" w14:textId="77777777" w:rsidR="003B0810" w:rsidRPr="003B0810" w:rsidRDefault="003B0810" w:rsidP="003B0810">
            <w:pPr>
              <w:spacing w:line="240" w:lineRule="auto"/>
              <w:rPr>
                <w:rFonts w:cs="Arial"/>
                <w:sz w:val="18"/>
                <w:szCs w:val="18"/>
                <w:lang w:eastAsia="en-GB"/>
              </w:rPr>
            </w:pPr>
            <w:r w:rsidRPr="003B0810">
              <w:rPr>
                <w:rFonts w:cs="Arial"/>
                <w:sz w:val="18"/>
                <w:szCs w:val="18"/>
                <w:lang w:val="fr-FR" w:eastAsia="en-GB"/>
              </w:rPr>
              <w:t>Jean Chavanne</w:t>
            </w:r>
          </w:p>
        </w:tc>
      </w:tr>
      <w:tr w:rsidR="003B0810" w:rsidRPr="003B0810" w14:paraId="0F57D858" w14:textId="77777777" w:rsidTr="006A5288">
        <w:trPr>
          <w:trHeight w:val="26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0B2C3AA3" w14:textId="77777777" w:rsidR="003B0810" w:rsidRPr="003B0810" w:rsidRDefault="003B0810" w:rsidP="003B0810">
            <w:pPr>
              <w:spacing w:line="240" w:lineRule="auto"/>
              <w:rPr>
                <w:rFonts w:cs="Arial"/>
                <w:sz w:val="18"/>
                <w:szCs w:val="18"/>
                <w:lang w:eastAsia="en-GB"/>
              </w:rPr>
            </w:pPr>
            <w:r w:rsidRPr="003B0810">
              <w:rPr>
                <w:rFonts w:cs="Arial"/>
                <w:sz w:val="18"/>
                <w:szCs w:val="18"/>
                <w:lang w:val="fr-FR" w:eastAsia="en-GB"/>
              </w:rPr>
              <w:t>Asie du Sud-Est, Corée, Japon</w:t>
            </w:r>
          </w:p>
        </w:tc>
        <w:tc>
          <w:tcPr>
            <w:tcW w:w="2835" w:type="dxa"/>
            <w:tcBorders>
              <w:top w:val="nil"/>
              <w:left w:val="nil"/>
              <w:bottom w:val="single" w:sz="4" w:space="0" w:color="auto"/>
              <w:right w:val="single" w:sz="4" w:space="0" w:color="auto"/>
            </w:tcBorders>
            <w:shd w:val="clear" w:color="auto" w:fill="auto"/>
            <w:noWrap/>
            <w:vAlign w:val="center"/>
            <w:hideMark/>
          </w:tcPr>
          <w:p w14:paraId="3AD226B4" w14:textId="77777777" w:rsidR="003B0810" w:rsidRPr="003B0810" w:rsidRDefault="003B0810" w:rsidP="003B0810">
            <w:pPr>
              <w:spacing w:line="240" w:lineRule="auto"/>
              <w:rPr>
                <w:rFonts w:cs="Arial"/>
                <w:sz w:val="18"/>
                <w:szCs w:val="18"/>
                <w:lang w:eastAsia="en-GB"/>
              </w:rPr>
            </w:pPr>
            <w:r w:rsidRPr="003B0810">
              <w:rPr>
                <w:rFonts w:cs="Arial"/>
                <w:sz w:val="18"/>
                <w:szCs w:val="18"/>
                <w:lang w:val="fr-FR" w:eastAsia="en-GB"/>
              </w:rPr>
              <w:t>Sebastien Geffrault</w:t>
            </w:r>
          </w:p>
        </w:tc>
        <w:tc>
          <w:tcPr>
            <w:tcW w:w="2694" w:type="dxa"/>
            <w:tcBorders>
              <w:top w:val="nil"/>
              <w:left w:val="nil"/>
              <w:bottom w:val="single" w:sz="4" w:space="0" w:color="auto"/>
              <w:right w:val="single" w:sz="4" w:space="0" w:color="auto"/>
            </w:tcBorders>
            <w:shd w:val="clear" w:color="auto" w:fill="auto"/>
            <w:noWrap/>
            <w:vAlign w:val="center"/>
            <w:hideMark/>
          </w:tcPr>
          <w:p w14:paraId="2B2396AB" w14:textId="77777777" w:rsidR="003B0810" w:rsidRPr="003B0810" w:rsidRDefault="003B0810" w:rsidP="003B0810">
            <w:pPr>
              <w:spacing w:line="240" w:lineRule="auto"/>
              <w:rPr>
                <w:rFonts w:cs="Arial"/>
                <w:sz w:val="18"/>
                <w:szCs w:val="18"/>
                <w:lang w:eastAsia="en-GB"/>
              </w:rPr>
            </w:pPr>
            <w:r w:rsidRPr="003B0810">
              <w:rPr>
                <w:rFonts w:cs="Arial"/>
                <w:sz w:val="18"/>
                <w:szCs w:val="18"/>
                <w:lang w:val="fr-FR" w:eastAsia="en-GB"/>
              </w:rPr>
              <w:t>Michael Berger</w:t>
            </w:r>
          </w:p>
        </w:tc>
      </w:tr>
      <w:tr w:rsidR="003B0810" w:rsidRPr="003B0810" w14:paraId="2886B2D2" w14:textId="77777777" w:rsidTr="006A5288">
        <w:trPr>
          <w:trHeight w:val="260"/>
        </w:trPr>
        <w:tc>
          <w:tcPr>
            <w:tcW w:w="3964" w:type="dxa"/>
            <w:tcBorders>
              <w:top w:val="nil"/>
              <w:left w:val="single" w:sz="4" w:space="0" w:color="auto"/>
              <w:bottom w:val="single" w:sz="4" w:space="0" w:color="auto"/>
              <w:right w:val="single" w:sz="4" w:space="0" w:color="auto"/>
            </w:tcBorders>
            <w:shd w:val="clear" w:color="auto" w:fill="auto"/>
            <w:noWrap/>
            <w:vAlign w:val="center"/>
            <w:hideMark/>
          </w:tcPr>
          <w:p w14:paraId="3813609E" w14:textId="77777777" w:rsidR="003B0810" w:rsidRPr="003B0810" w:rsidRDefault="003B0810" w:rsidP="003B0810">
            <w:pPr>
              <w:spacing w:line="240" w:lineRule="auto"/>
              <w:rPr>
                <w:rFonts w:cs="Arial"/>
                <w:sz w:val="18"/>
                <w:szCs w:val="18"/>
                <w:lang w:eastAsia="en-GB"/>
              </w:rPr>
            </w:pPr>
            <w:r w:rsidRPr="003B0810">
              <w:rPr>
                <w:rFonts w:cs="Arial"/>
                <w:sz w:val="18"/>
                <w:szCs w:val="18"/>
                <w:lang w:val="fr-FR" w:eastAsia="en-GB"/>
              </w:rPr>
              <w:t>Chine et Inde</w:t>
            </w:r>
          </w:p>
        </w:tc>
        <w:tc>
          <w:tcPr>
            <w:tcW w:w="2835" w:type="dxa"/>
            <w:tcBorders>
              <w:top w:val="nil"/>
              <w:left w:val="nil"/>
              <w:bottom w:val="single" w:sz="4" w:space="0" w:color="auto"/>
              <w:right w:val="single" w:sz="4" w:space="0" w:color="auto"/>
            </w:tcBorders>
            <w:shd w:val="clear" w:color="auto" w:fill="auto"/>
            <w:noWrap/>
            <w:vAlign w:val="center"/>
            <w:hideMark/>
          </w:tcPr>
          <w:p w14:paraId="5A6E4D29" w14:textId="4C4D46E0" w:rsidR="003B0810" w:rsidRPr="003B0810" w:rsidRDefault="003B0810" w:rsidP="003B0810">
            <w:pPr>
              <w:spacing w:line="240" w:lineRule="auto"/>
              <w:rPr>
                <w:rFonts w:cs="Arial"/>
                <w:sz w:val="18"/>
                <w:szCs w:val="18"/>
                <w:lang w:eastAsia="en-GB"/>
              </w:rPr>
            </w:pPr>
            <w:r w:rsidRPr="003B0810">
              <w:rPr>
                <w:rFonts w:cs="Arial"/>
                <w:sz w:val="18"/>
                <w:szCs w:val="18"/>
                <w:lang w:val="fr-FR" w:eastAsia="fr-FR"/>
              </w:rPr>
              <w:t>Raph</w:t>
            </w:r>
            <w:r w:rsidR="00314582">
              <w:rPr>
                <w:rFonts w:cs="Arial"/>
                <w:sz w:val="18"/>
                <w:szCs w:val="18"/>
                <w:lang w:val="fr-FR" w:eastAsia="fr-FR"/>
              </w:rPr>
              <w:t>a</w:t>
            </w:r>
            <w:r w:rsidRPr="003B0810">
              <w:rPr>
                <w:rFonts w:cs="Arial"/>
                <w:sz w:val="18"/>
                <w:szCs w:val="18"/>
                <w:lang w:val="fr-FR" w:eastAsia="fr-FR"/>
              </w:rPr>
              <w:t xml:space="preserve">ël Indermühle </w:t>
            </w:r>
            <w:r w:rsidR="006A5288">
              <w:rPr>
                <w:rFonts w:cs="Arial"/>
                <w:sz w:val="18"/>
                <w:szCs w:val="18"/>
                <w:lang w:val="fr-FR" w:eastAsia="fr-FR"/>
              </w:rPr>
              <w:br/>
            </w:r>
            <w:r w:rsidRPr="003B0810">
              <w:rPr>
                <w:rFonts w:cs="Arial"/>
                <w:sz w:val="18"/>
                <w:szCs w:val="18"/>
                <w:lang w:val="fr-FR" w:eastAsia="fr-FR"/>
              </w:rPr>
              <w:t>- Par intérim</w:t>
            </w:r>
          </w:p>
        </w:tc>
        <w:tc>
          <w:tcPr>
            <w:tcW w:w="2694" w:type="dxa"/>
            <w:tcBorders>
              <w:top w:val="nil"/>
              <w:left w:val="nil"/>
              <w:bottom w:val="single" w:sz="4" w:space="0" w:color="auto"/>
              <w:right w:val="single" w:sz="4" w:space="0" w:color="auto"/>
            </w:tcBorders>
            <w:shd w:val="clear" w:color="auto" w:fill="auto"/>
            <w:noWrap/>
            <w:vAlign w:val="center"/>
            <w:hideMark/>
          </w:tcPr>
          <w:p w14:paraId="54930DD6" w14:textId="4BA4D013" w:rsidR="003B0810" w:rsidRPr="003B0810" w:rsidRDefault="003B0810" w:rsidP="003B0810">
            <w:pPr>
              <w:spacing w:line="240" w:lineRule="auto"/>
              <w:rPr>
                <w:rFonts w:cs="Arial"/>
                <w:sz w:val="18"/>
                <w:szCs w:val="18"/>
                <w:lang w:eastAsia="en-GB"/>
              </w:rPr>
            </w:pPr>
            <w:r w:rsidRPr="003B0810">
              <w:rPr>
                <w:rFonts w:cs="Arial"/>
                <w:sz w:val="18"/>
                <w:szCs w:val="18"/>
                <w:lang w:val="fr-FR" w:eastAsia="fr-FR"/>
              </w:rPr>
              <w:t xml:space="preserve">Christian Falk </w:t>
            </w:r>
            <w:r w:rsidR="006A5288">
              <w:rPr>
                <w:rFonts w:cs="Arial"/>
                <w:sz w:val="18"/>
                <w:szCs w:val="18"/>
                <w:lang w:val="fr-FR" w:eastAsia="fr-FR"/>
              </w:rPr>
              <w:br/>
            </w:r>
            <w:r w:rsidRPr="003B0810">
              <w:rPr>
                <w:rFonts w:cs="Arial"/>
                <w:sz w:val="18"/>
                <w:szCs w:val="18"/>
                <w:lang w:val="fr-FR" w:eastAsia="fr-FR"/>
              </w:rPr>
              <w:t>- Par intérim</w:t>
            </w:r>
          </w:p>
        </w:tc>
      </w:tr>
    </w:tbl>
    <w:p w14:paraId="1A3EF376" w14:textId="0484F591" w:rsidR="003B0810" w:rsidRPr="003B0810" w:rsidRDefault="00D40AE0" w:rsidP="003B0810">
      <w:pPr>
        <w:suppressAutoHyphens/>
        <w:autoSpaceDN w:val="0"/>
        <w:spacing w:after="160" w:line="256" w:lineRule="auto"/>
        <w:textAlignment w:val="baseline"/>
        <w:rPr>
          <w:rFonts w:asciiTheme="minorHAnsi" w:eastAsia="Calibri" w:hAnsiTheme="minorHAnsi" w:cstheme="minorHAnsi"/>
          <w:sz w:val="20"/>
          <w:szCs w:val="20"/>
          <w:lang w:val="fr-FR"/>
        </w:rPr>
      </w:pPr>
      <w:r w:rsidRPr="006A5288">
        <w:rPr>
          <w:lang w:val="fr-FR"/>
        </w:rPr>
        <w:lastRenderedPageBreak/>
        <w:t xml:space="preserve">Cet </w:t>
      </w:r>
      <w:bookmarkStart w:id="3" w:name="_Hlk57274834"/>
      <w:r w:rsidRPr="006A5288">
        <w:rPr>
          <w:lang w:val="fr-FR"/>
        </w:rPr>
        <w:t>esprit entrepreunarial</w:t>
      </w:r>
      <w:bookmarkEnd w:id="3"/>
      <w:r w:rsidRPr="006A5288">
        <w:rPr>
          <w:lang w:val="fr-FR"/>
        </w:rPr>
        <w:t xml:space="preserve"> </w:t>
      </w:r>
      <w:r w:rsidR="003B0810" w:rsidRPr="003B0810">
        <w:rPr>
          <w:rFonts w:asciiTheme="minorHAnsi" w:eastAsia="Calibri" w:hAnsiTheme="minorHAnsi" w:cstheme="minorHAnsi"/>
          <w:sz w:val="20"/>
          <w:szCs w:val="20"/>
          <w:lang w:val="fr-FR"/>
        </w:rPr>
        <w:t xml:space="preserve">qui anime nos unités commerciales dans ces huit grandes régions du monde aidera BOBST à façonner l'avenir du secteur de l'emballage. Les prises de décisions seront plus rapides. Les processus seront simplifiés. La diversité culturelle sera renforcée, et la proximité avec les clients améliorée. Bienvenue dans cette toute nouvelle organisation qui permettra de développer des relations privilégiées basées sur la confiance, les liens interactifs et une digitalisation « sans couture ». </w:t>
      </w:r>
    </w:p>
    <w:p w14:paraId="7D425DBC" w14:textId="118651F0" w:rsidR="001B2225" w:rsidRDefault="001B2225" w:rsidP="001B2225">
      <w:pPr>
        <w:autoSpaceDE w:val="0"/>
        <w:autoSpaceDN w:val="0"/>
        <w:adjustRightInd w:val="0"/>
        <w:spacing w:line="271" w:lineRule="auto"/>
        <w:rPr>
          <w:rFonts w:asciiTheme="minorHAnsi" w:hAnsiTheme="minorHAnsi" w:cstheme="minorHAnsi"/>
          <w:b/>
          <w:bCs/>
          <w:sz w:val="20"/>
          <w:szCs w:val="20"/>
          <w:lang w:val="fr-FR"/>
        </w:rPr>
      </w:pPr>
    </w:p>
    <w:p w14:paraId="69021364" w14:textId="77777777" w:rsidR="00314582" w:rsidRPr="003B0810" w:rsidRDefault="00314582" w:rsidP="001B2225">
      <w:pPr>
        <w:autoSpaceDE w:val="0"/>
        <w:autoSpaceDN w:val="0"/>
        <w:adjustRightInd w:val="0"/>
        <w:spacing w:line="271" w:lineRule="auto"/>
        <w:rPr>
          <w:rFonts w:asciiTheme="minorHAnsi" w:hAnsiTheme="minorHAnsi" w:cstheme="minorHAnsi"/>
          <w:b/>
          <w:bCs/>
          <w:sz w:val="20"/>
          <w:szCs w:val="20"/>
          <w:lang w:val="fr-FR"/>
        </w:rPr>
      </w:pPr>
    </w:p>
    <w:p w14:paraId="7612E6E3" w14:textId="77777777" w:rsidR="004C28DE" w:rsidRDefault="004C28DE" w:rsidP="001B2225">
      <w:pPr>
        <w:autoSpaceDE w:val="0"/>
        <w:autoSpaceDN w:val="0"/>
        <w:adjustRightInd w:val="0"/>
        <w:spacing w:line="271" w:lineRule="auto"/>
        <w:outlineLvl w:val="0"/>
        <w:rPr>
          <w:rFonts w:cs="Arial"/>
          <w:b/>
          <w:bCs/>
          <w:szCs w:val="19"/>
          <w:lang w:val="fr-FR"/>
        </w:rPr>
      </w:pPr>
      <w:r w:rsidRPr="00C365C9">
        <w:rPr>
          <w:rFonts w:cs="Arial"/>
          <w:b/>
          <w:bCs/>
          <w:szCs w:val="19"/>
          <w:lang w:val="fr-FR"/>
        </w:rPr>
        <w:t>A propos de BOBST</w:t>
      </w:r>
    </w:p>
    <w:p w14:paraId="4E307A64" w14:textId="77777777" w:rsidR="001B00E3" w:rsidRPr="00C365C9" w:rsidRDefault="001B00E3" w:rsidP="001B2225">
      <w:pPr>
        <w:autoSpaceDE w:val="0"/>
        <w:autoSpaceDN w:val="0"/>
        <w:adjustRightInd w:val="0"/>
        <w:spacing w:line="271" w:lineRule="auto"/>
        <w:outlineLvl w:val="0"/>
        <w:rPr>
          <w:rFonts w:cs="Arial"/>
          <w:b/>
          <w:bCs/>
          <w:szCs w:val="19"/>
          <w:lang w:val="fr-FR"/>
        </w:rPr>
      </w:pPr>
    </w:p>
    <w:p w14:paraId="7565D720" w14:textId="77777777" w:rsidR="00872A48" w:rsidRPr="00872A48" w:rsidRDefault="00872A48" w:rsidP="00872A48">
      <w:pPr>
        <w:shd w:val="clear" w:color="auto" w:fill="FFFFFF"/>
        <w:spacing w:line="271" w:lineRule="auto"/>
        <w:rPr>
          <w:rFonts w:cs="Arial"/>
          <w:szCs w:val="19"/>
          <w:lang w:val="fr-FR" w:eastAsia="fr-FR"/>
        </w:rPr>
      </w:pPr>
      <w:r w:rsidRPr="00872A48">
        <w:rPr>
          <w:rFonts w:cs="Arial"/>
          <w:szCs w:val="19"/>
          <w:lang w:val="fr-FR" w:eastAsia="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5EFAED45" w14:textId="77777777" w:rsidR="00872A48" w:rsidRPr="00872A48" w:rsidRDefault="00872A48" w:rsidP="00872A48">
      <w:pPr>
        <w:shd w:val="clear" w:color="auto" w:fill="FFFFFF"/>
        <w:spacing w:line="271" w:lineRule="auto"/>
        <w:rPr>
          <w:rFonts w:cs="Arial"/>
          <w:szCs w:val="19"/>
          <w:lang w:val="fr-FR" w:eastAsia="fr-FR"/>
        </w:rPr>
      </w:pPr>
    </w:p>
    <w:p w14:paraId="539A95F3" w14:textId="5F7F93CD" w:rsidR="004C28DE" w:rsidRDefault="00872A48" w:rsidP="00872A48">
      <w:pPr>
        <w:shd w:val="clear" w:color="auto" w:fill="FFFFFF"/>
        <w:spacing w:line="271" w:lineRule="auto"/>
        <w:rPr>
          <w:rFonts w:cs="Arial"/>
          <w:szCs w:val="19"/>
          <w:lang w:val="fr-FR" w:eastAsia="fr-FR"/>
        </w:rPr>
      </w:pPr>
      <w:r w:rsidRPr="00872A48">
        <w:rPr>
          <w:rFonts w:cs="Arial"/>
          <w:szCs w:val="19"/>
          <w:lang w:val="fr-FR" w:eastAsia="fr-FR"/>
        </w:rPr>
        <w:t>Fondée en 1890 à Lausanne (Suisse) par Joseph Bobst, la société BOBST est présente dans plus de 50 pays, possède 15 sites de production dans 8 pays et emploie plus de 5 500 personnes dans le monde. Elle a enregistré un chiffre d’affaires consolidé de CHF 1 636 millions sur l’exercice 2019.</w:t>
      </w:r>
    </w:p>
    <w:p w14:paraId="3C560899" w14:textId="77777777" w:rsidR="00D40AE0" w:rsidRPr="00C365C9" w:rsidRDefault="00D40AE0" w:rsidP="00872A48">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BOBST PR Representative</w:t>
      </w:r>
    </w:p>
    <w:p w14:paraId="263F69DF" w14:textId="77777777" w:rsidR="008A6629" w:rsidRPr="00C365C9" w:rsidRDefault="008A6629" w:rsidP="001B2225">
      <w:pPr>
        <w:rPr>
          <w:rFonts w:cs="Arial"/>
          <w:szCs w:val="19"/>
          <w:lang w:val="fr-BE" w:eastAsia="de-DE"/>
        </w:rPr>
      </w:pPr>
      <w:r w:rsidRPr="00C365C9">
        <w:rPr>
          <w:rFonts w:cs="Arial"/>
          <w:szCs w:val="19"/>
          <w:lang w:val="fr-BE" w:eastAsia="de-DE"/>
        </w:rPr>
        <w:t xml:space="preserve">Tel.: +49 211 58 58 66 66 </w:t>
      </w:r>
    </w:p>
    <w:p w14:paraId="69CD4A9A" w14:textId="77777777" w:rsidR="008A6629" w:rsidRPr="00C365C9" w:rsidRDefault="008A6629" w:rsidP="001B2225">
      <w:pPr>
        <w:rPr>
          <w:rFonts w:cs="Arial"/>
          <w:szCs w:val="19"/>
          <w:lang w:val="fr-BE" w:eastAsia="de-DE"/>
        </w:rPr>
      </w:pPr>
      <w:r w:rsidRPr="00C365C9">
        <w:rPr>
          <w:rFonts w:cs="Arial"/>
          <w:szCs w:val="19"/>
          <w:lang w:val="fr-BE" w:eastAsia="de-DE"/>
        </w:rPr>
        <w:t>Mobile: +49 160 48 41 439</w:t>
      </w:r>
    </w:p>
    <w:p w14:paraId="03B3F7CD" w14:textId="77777777" w:rsidR="00280DC9" w:rsidRPr="00C365C9" w:rsidRDefault="00280DC9" w:rsidP="001B2225">
      <w:pPr>
        <w:rPr>
          <w:rFonts w:cs="Arial"/>
          <w:szCs w:val="19"/>
          <w:lang w:val="fr-BE" w:eastAsia="de-DE"/>
        </w:rPr>
      </w:pPr>
      <w:r w:rsidRPr="00C365C9">
        <w:rPr>
          <w:rFonts w:cs="Arial"/>
          <w:szCs w:val="19"/>
          <w:lang w:val="fr-BE" w:eastAsia="de-DE"/>
        </w:rPr>
        <w:t xml:space="preserve">Email: </w:t>
      </w:r>
      <w:hyperlink r:id="rId9" w:history="1">
        <w:r w:rsidRPr="00C365C9">
          <w:rPr>
            <w:rFonts w:asciiTheme="majorHAnsi" w:eastAsia="Microsoft YaHei" w:hAnsiTheme="majorHAnsi" w:cstheme="majorHAnsi"/>
            <w:color w:val="0000FF"/>
            <w:szCs w:val="19"/>
            <w:u w:val="single"/>
            <w:lang w:val="fr-BE" w:eastAsia="de-DE"/>
          </w:rPr>
          <w:t>gudrun.alex@bobst.com</w:t>
        </w:r>
      </w:hyperlink>
    </w:p>
    <w:p w14:paraId="2A361EA2" w14:textId="77777777" w:rsidR="008A6629" w:rsidRDefault="008A6629" w:rsidP="001B2225">
      <w:pPr>
        <w:rPr>
          <w:rFonts w:cs="Arial"/>
          <w:szCs w:val="19"/>
          <w:lang w:val="fr-BE"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77777777"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10"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1"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2"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3"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4"/>
      <w:footerReference w:type="default" r:id="rId15"/>
      <w:headerReference w:type="first" r:id="rId16"/>
      <w:footerReference w:type="first" r:id="rId17"/>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61984" w14:textId="77777777" w:rsidR="00EB2844" w:rsidRDefault="00EB2844" w:rsidP="00BB5BE9">
      <w:pPr>
        <w:spacing w:line="240" w:lineRule="auto"/>
      </w:pPr>
      <w:r>
        <w:separator/>
      </w:r>
    </w:p>
  </w:endnote>
  <w:endnote w:type="continuationSeparator" w:id="0">
    <w:p w14:paraId="164C7CB3" w14:textId="77777777" w:rsidR="00EB2844" w:rsidRDefault="00EB2844"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77777777"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05950" w14:textId="77777777" w:rsidR="00EB2844" w:rsidRDefault="00EB2844" w:rsidP="00BB5BE9">
      <w:pPr>
        <w:spacing w:line="240" w:lineRule="auto"/>
      </w:pPr>
      <w:r>
        <w:separator/>
      </w:r>
    </w:p>
  </w:footnote>
  <w:footnote w:type="continuationSeparator" w:id="0">
    <w:p w14:paraId="644C511B" w14:textId="77777777" w:rsidR="00EB2844" w:rsidRDefault="00EB2844"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54F" w14:textId="77777777" w:rsidR="00BB5BE9" w:rsidRPr="004C28DE" w:rsidRDefault="000E7707"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7F0FE" w14:textId="77777777" w:rsidR="00F36CF1" w:rsidRPr="004C28DE" w:rsidRDefault="000E7707"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2502"/>
    <w:rsid w:val="0002381F"/>
    <w:rsid w:val="00043F57"/>
    <w:rsid w:val="000B7CE1"/>
    <w:rsid w:val="000E7707"/>
    <w:rsid w:val="00122852"/>
    <w:rsid w:val="0012287C"/>
    <w:rsid w:val="00162F04"/>
    <w:rsid w:val="00165731"/>
    <w:rsid w:val="00185617"/>
    <w:rsid w:val="00193DE7"/>
    <w:rsid w:val="001978E2"/>
    <w:rsid w:val="001B00E3"/>
    <w:rsid w:val="001B2225"/>
    <w:rsid w:val="001B4282"/>
    <w:rsid w:val="0027064C"/>
    <w:rsid w:val="00280DC9"/>
    <w:rsid w:val="00314582"/>
    <w:rsid w:val="003B0810"/>
    <w:rsid w:val="003F0A62"/>
    <w:rsid w:val="003F1F32"/>
    <w:rsid w:val="00406778"/>
    <w:rsid w:val="00441257"/>
    <w:rsid w:val="00441D37"/>
    <w:rsid w:val="004701B5"/>
    <w:rsid w:val="004711C7"/>
    <w:rsid w:val="004C2489"/>
    <w:rsid w:val="004C28DE"/>
    <w:rsid w:val="004F3549"/>
    <w:rsid w:val="00540DC4"/>
    <w:rsid w:val="00546823"/>
    <w:rsid w:val="005A48B2"/>
    <w:rsid w:val="00607A8B"/>
    <w:rsid w:val="0064617D"/>
    <w:rsid w:val="00672351"/>
    <w:rsid w:val="006A45F6"/>
    <w:rsid w:val="006A5288"/>
    <w:rsid w:val="007054D8"/>
    <w:rsid w:val="00737BF3"/>
    <w:rsid w:val="00744CD0"/>
    <w:rsid w:val="0074688B"/>
    <w:rsid w:val="007E6A57"/>
    <w:rsid w:val="00872A48"/>
    <w:rsid w:val="008A6629"/>
    <w:rsid w:val="008B5EF4"/>
    <w:rsid w:val="008D353F"/>
    <w:rsid w:val="00923BF4"/>
    <w:rsid w:val="00990BFB"/>
    <w:rsid w:val="009A0420"/>
    <w:rsid w:val="00A131E9"/>
    <w:rsid w:val="00AB644E"/>
    <w:rsid w:val="00BA155B"/>
    <w:rsid w:val="00BB5BE9"/>
    <w:rsid w:val="00C20D00"/>
    <w:rsid w:val="00C365C9"/>
    <w:rsid w:val="00CC7F9D"/>
    <w:rsid w:val="00D40AE0"/>
    <w:rsid w:val="00DB1DC2"/>
    <w:rsid w:val="00DE5DD2"/>
    <w:rsid w:val="00DF7B45"/>
    <w:rsid w:val="00E2330A"/>
    <w:rsid w:val="00E542C8"/>
    <w:rsid w:val="00EB2844"/>
    <w:rsid w:val="00F03D8B"/>
    <w:rsid w:val="00F36CF1"/>
    <w:rsid w:val="00F92EA2"/>
    <w:rsid w:val="00F961AB"/>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754452">
      <w:bodyDiv w:val="1"/>
      <w:marLeft w:val="0"/>
      <w:marRight w:val="0"/>
      <w:marTop w:val="0"/>
      <w:marBottom w:val="0"/>
      <w:divBdr>
        <w:top w:val="none" w:sz="0" w:space="0" w:color="auto"/>
        <w:left w:val="none" w:sz="0" w:space="0" w:color="auto"/>
        <w:bottom w:val="none" w:sz="0" w:space="0" w:color="auto"/>
        <w:right w:val="none" w:sz="0" w:space="0" w:color="auto"/>
      </w:divBdr>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27671362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212376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bst.com/esen/about-bobst/who-we-are/vision/" TargetMode="External"/><Relationship Id="rId13" Type="http://schemas.openxmlformats.org/officeDocument/2006/relationships/hyperlink" Target="http://www.bobst.com/youtu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twit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bst.com/facebo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udrun.alex@bob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10</TotalTime>
  <Pages>2</Pages>
  <Words>587</Words>
  <Characters>4201</Characters>
  <Application>Microsoft Office Word</Application>
  <DocSecurity>0</DocSecurity>
  <Lines>102</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7</cp:revision>
  <cp:lastPrinted>2015-02-06T09:00:00Z</cp:lastPrinted>
  <dcterms:created xsi:type="dcterms:W3CDTF">2020-11-30T13:15:00Z</dcterms:created>
  <dcterms:modified xsi:type="dcterms:W3CDTF">2020-12-01T11:30:00Z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